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23" w:rsidRPr="00275D75" w:rsidRDefault="00430D23" w:rsidP="00430D23">
      <w:pPr>
        <w:pStyle w:val="1"/>
        <w:spacing w:before="670" w:after="670"/>
      </w:pPr>
      <w:r w:rsidRPr="00275D75">
        <w:rPr>
          <w:rFonts w:hint="eastAsia"/>
        </w:rPr>
        <w:t>北京</w:t>
      </w:r>
      <w:r w:rsidRPr="00275D75">
        <w:t>师范大学公务卡管理办法</w:t>
      </w:r>
      <w:r w:rsidRPr="00275D75">
        <w:rPr>
          <w:rFonts w:hint="eastAsia"/>
          <w:lang w:eastAsia="zh-CN"/>
        </w:rPr>
        <w:br/>
      </w:r>
      <w:r w:rsidRPr="00275D75">
        <w:rPr>
          <w:rFonts w:hint="eastAsia"/>
        </w:rPr>
        <w:t>（征求意见稿）</w:t>
      </w:r>
    </w:p>
    <w:p w:rsidR="00430D23" w:rsidRPr="00275D75" w:rsidRDefault="00430D23" w:rsidP="00430D23">
      <w:pPr>
        <w:pStyle w:val="4"/>
        <w:spacing w:before="357" w:after="357"/>
      </w:pPr>
      <w:r w:rsidRPr="00275D75">
        <w:t>第一章</w:t>
      </w:r>
      <w:r w:rsidRPr="00275D75">
        <w:rPr>
          <w:rFonts w:eastAsia="Times New Roman"/>
        </w:rPr>
        <w:t xml:space="preserve"> </w:t>
      </w:r>
      <w:r w:rsidRPr="00275D75">
        <w:rPr>
          <w:rFonts w:eastAsia="宋体" w:hint="eastAsia"/>
        </w:rPr>
        <w:t xml:space="preserve"> </w:t>
      </w:r>
      <w:r w:rsidRPr="00275D75">
        <w:t>总</w:t>
      </w:r>
      <w:r w:rsidRPr="00275D75">
        <w:rPr>
          <w:rFonts w:hint="eastAsia"/>
        </w:rPr>
        <w:t xml:space="preserve">    </w:t>
      </w:r>
      <w:r w:rsidRPr="00275D75">
        <w:t>则</w:t>
      </w:r>
    </w:p>
    <w:p w:rsidR="00430D23" w:rsidRPr="00275D75" w:rsidRDefault="00430D23" w:rsidP="00430D23">
      <w:pPr>
        <w:ind w:firstLine="527"/>
      </w:pPr>
      <w:r w:rsidRPr="00275D75">
        <w:rPr>
          <w:b/>
        </w:rPr>
        <w:t>第一条</w:t>
      </w:r>
      <w:r w:rsidRPr="00275D75">
        <w:rPr>
          <w:rFonts w:hint="eastAsia"/>
        </w:rPr>
        <w:t xml:space="preserve"> </w:t>
      </w:r>
      <w:r w:rsidRPr="00275D75">
        <w:rPr>
          <w:rFonts w:eastAsia="Times New Roman"/>
        </w:rPr>
        <w:t xml:space="preserve"> </w:t>
      </w:r>
      <w:r w:rsidRPr="00275D75">
        <w:t>为进一步加强资金管理，规范支付业务，减少现金结算，提高支付透明度，强化资金安全，</w:t>
      </w:r>
      <w:r w:rsidRPr="00275D75">
        <w:rPr>
          <w:rFonts w:hint="eastAsia"/>
        </w:rPr>
        <w:t>根据</w:t>
      </w:r>
      <w:r w:rsidRPr="00275D75">
        <w:t>《关于中央财政科研项目使用公务卡结算有关事项的通知》（财库〔</w:t>
      </w:r>
      <w:r w:rsidRPr="00275D75">
        <w:t>2015</w:t>
      </w:r>
      <w:r w:rsidRPr="00275D75">
        <w:t>〕</w:t>
      </w:r>
      <w:r w:rsidRPr="00275D75">
        <w:t>245</w:t>
      </w:r>
      <w:r w:rsidRPr="00275D75">
        <w:t>号）</w:t>
      </w:r>
      <w:r w:rsidRPr="00275D75">
        <w:rPr>
          <w:rFonts w:hint="eastAsia"/>
        </w:rPr>
        <w:t>，《关于实施中央预算单位公务卡强制结算目录的通知》（财库〔</w:t>
      </w:r>
      <w:r w:rsidRPr="00275D75">
        <w:rPr>
          <w:rFonts w:hint="eastAsia"/>
        </w:rPr>
        <w:t>2011</w:t>
      </w:r>
      <w:r w:rsidRPr="00275D75">
        <w:rPr>
          <w:rFonts w:hint="eastAsia"/>
        </w:rPr>
        <w:t>〕</w:t>
      </w:r>
      <w:r w:rsidRPr="00275D75">
        <w:rPr>
          <w:rFonts w:hint="eastAsia"/>
        </w:rPr>
        <w:t>160</w:t>
      </w:r>
      <w:r w:rsidRPr="00275D75">
        <w:rPr>
          <w:rFonts w:hint="eastAsia"/>
        </w:rPr>
        <w:t>号）</w:t>
      </w:r>
      <w:r w:rsidRPr="00275D75">
        <w:t>要求，结合学校实际，制定本办法。</w:t>
      </w:r>
    </w:p>
    <w:p w:rsidR="00430D23" w:rsidRPr="00275D75" w:rsidRDefault="00430D23" w:rsidP="00430D23">
      <w:pPr>
        <w:ind w:firstLine="527"/>
      </w:pPr>
      <w:r w:rsidRPr="00275D75">
        <w:rPr>
          <w:b/>
        </w:rPr>
        <w:t>第二条</w:t>
      </w:r>
      <w:r w:rsidRPr="00275D75">
        <w:rPr>
          <w:rFonts w:eastAsia="Times New Roman"/>
        </w:rPr>
        <w:t xml:space="preserve"> </w:t>
      </w:r>
      <w:r w:rsidRPr="00275D75">
        <w:rPr>
          <w:rFonts w:hint="eastAsia"/>
        </w:rPr>
        <w:t xml:space="preserve"> </w:t>
      </w:r>
      <w:r w:rsidRPr="00275D75">
        <w:rPr>
          <w:rFonts w:hint="eastAsia"/>
        </w:rPr>
        <w:t>北京</w:t>
      </w:r>
      <w:r w:rsidRPr="00275D75">
        <w:t>师范大学公务卡是指教职工持有的，主要用于日常经费支出和财务报销业务的信用卡。公务</w:t>
      </w:r>
      <w:proofErr w:type="gramStart"/>
      <w:r w:rsidRPr="00275D75">
        <w:t>卡不可</w:t>
      </w:r>
      <w:proofErr w:type="gramEnd"/>
      <w:r w:rsidRPr="00275D75">
        <w:t>办理附属卡，目前仅用于办理人民币消费和结算业务。我校公务卡为工商银行财政预算单位公务卡</w:t>
      </w:r>
      <w:r w:rsidRPr="00275D75">
        <w:rPr>
          <w:rFonts w:hint="eastAsia"/>
        </w:rPr>
        <w:t>。</w:t>
      </w:r>
    </w:p>
    <w:p w:rsidR="00430D23" w:rsidRPr="00275D75" w:rsidRDefault="00430D23" w:rsidP="00430D23">
      <w:pPr>
        <w:ind w:firstLine="527"/>
      </w:pPr>
      <w:r w:rsidRPr="00275D75">
        <w:rPr>
          <w:b/>
        </w:rPr>
        <w:t>第三条</w:t>
      </w:r>
      <w:r w:rsidRPr="00275D75">
        <w:rPr>
          <w:rFonts w:hint="eastAsia"/>
        </w:rPr>
        <w:t xml:space="preserve">  </w:t>
      </w:r>
      <w:r w:rsidRPr="00275D75">
        <w:rPr>
          <w:rFonts w:hint="eastAsia"/>
        </w:rPr>
        <w:t>财政性资金必须按照规定使用公务卡结算，凡强制结算目录规定的公务支出项目，应按规定使用公务卡结算，原则上不再使用现金结算。原使用转账方式结算的，可继续使用转账方式。</w:t>
      </w:r>
    </w:p>
    <w:p w:rsidR="00430D23" w:rsidRPr="00275D75" w:rsidRDefault="00430D23" w:rsidP="00430D23">
      <w:pPr>
        <w:ind w:firstLine="527"/>
      </w:pPr>
      <w:r w:rsidRPr="00275D75">
        <w:rPr>
          <w:rFonts w:hint="eastAsia"/>
          <w:b/>
        </w:rPr>
        <w:t>第四条</w:t>
      </w:r>
      <w:r w:rsidRPr="00275D75">
        <w:rPr>
          <w:rFonts w:hint="eastAsia"/>
        </w:rPr>
        <w:t xml:space="preserve">  </w:t>
      </w:r>
      <w:r w:rsidRPr="00275D75">
        <w:rPr>
          <w:rFonts w:hint="eastAsia"/>
        </w:rPr>
        <w:t>下列情况可暂不使用公务卡结算：</w:t>
      </w:r>
    </w:p>
    <w:p w:rsidR="00430D23" w:rsidRPr="00275D75" w:rsidRDefault="00430D23" w:rsidP="00430D23">
      <w:pPr>
        <w:ind w:firstLine="525"/>
      </w:pPr>
      <w:r w:rsidRPr="00275D75">
        <w:rPr>
          <w:rFonts w:hint="eastAsia"/>
        </w:rPr>
        <w:t>（一）在县级以下（不包括县级）地区发生的公务支出；</w:t>
      </w:r>
    </w:p>
    <w:p w:rsidR="00430D23" w:rsidRPr="00275D75" w:rsidRDefault="00430D23" w:rsidP="00430D23">
      <w:pPr>
        <w:ind w:firstLine="525"/>
      </w:pPr>
      <w:r w:rsidRPr="00275D75">
        <w:rPr>
          <w:rFonts w:hint="eastAsia"/>
        </w:rPr>
        <w:t>（二）在县级及县级以上地区不具备刷卡条件的场所发生的单笔消费在</w:t>
      </w:r>
      <w:r w:rsidRPr="00275D75">
        <w:rPr>
          <w:rFonts w:hint="eastAsia"/>
        </w:rPr>
        <w:t>200</w:t>
      </w:r>
      <w:r w:rsidRPr="00275D75">
        <w:rPr>
          <w:rFonts w:hint="eastAsia"/>
        </w:rPr>
        <w:t>元以下的公务支出；</w:t>
      </w:r>
    </w:p>
    <w:p w:rsidR="00430D23" w:rsidRPr="00275D75" w:rsidRDefault="00430D23" w:rsidP="00430D23">
      <w:pPr>
        <w:ind w:firstLine="525"/>
      </w:pPr>
      <w:r w:rsidRPr="00275D75">
        <w:rPr>
          <w:rFonts w:hint="eastAsia"/>
        </w:rPr>
        <w:t>（三）按规定支付给个人的支出；</w:t>
      </w:r>
    </w:p>
    <w:p w:rsidR="00430D23" w:rsidRPr="00275D75" w:rsidRDefault="00430D23" w:rsidP="00430D23">
      <w:pPr>
        <w:ind w:firstLine="525"/>
      </w:pPr>
      <w:r w:rsidRPr="00275D75">
        <w:rPr>
          <w:rFonts w:hint="eastAsia"/>
        </w:rPr>
        <w:t>（四）签证费、快递费、过桥过路费、出租车费用等目前只能使用现金结算的支出。</w:t>
      </w:r>
    </w:p>
    <w:p w:rsidR="00430D23" w:rsidRPr="00275D75" w:rsidRDefault="00430D23" w:rsidP="00430D23">
      <w:pPr>
        <w:ind w:firstLine="527"/>
      </w:pPr>
      <w:r w:rsidRPr="00275D75">
        <w:rPr>
          <w:rFonts w:hint="eastAsia"/>
          <w:b/>
        </w:rPr>
        <w:t>第五条</w:t>
      </w:r>
      <w:r w:rsidRPr="00275D75">
        <w:rPr>
          <w:rFonts w:hint="eastAsia"/>
        </w:rPr>
        <w:t xml:space="preserve">  </w:t>
      </w:r>
      <w:r w:rsidRPr="00275D75">
        <w:rPr>
          <w:rFonts w:hint="eastAsia"/>
        </w:rPr>
        <w:t>除第四条所述情况外，</w:t>
      </w:r>
      <w:r w:rsidRPr="00275D75">
        <w:t>因不具备刷卡条件而无法采用公务卡结算</w:t>
      </w:r>
      <w:r w:rsidRPr="00275D75">
        <w:rPr>
          <w:rFonts w:hint="eastAsia"/>
        </w:rPr>
        <w:t>的支出</w:t>
      </w:r>
      <w:r w:rsidRPr="00275D75">
        <w:t>，属于科研支出的</w:t>
      </w:r>
      <w:r w:rsidRPr="00275D75">
        <w:rPr>
          <w:rFonts w:hint="eastAsia"/>
        </w:rPr>
        <w:t>由科研项目负责人填写《财政性经费支出暂不使用公务卡支出审批单》，经所在单位主管财务工作的负责人审批后，经办人需携带审批表和支出的原始凭证先到科研院审批，再到财经处审批；属于其他经费的支出直接到财经处审批。</w:t>
      </w:r>
    </w:p>
    <w:p w:rsidR="00430D23" w:rsidRPr="00275D75" w:rsidRDefault="00430D23" w:rsidP="00430D23">
      <w:pPr>
        <w:pStyle w:val="4"/>
        <w:spacing w:before="357" w:after="357"/>
      </w:pPr>
      <w:r w:rsidRPr="00275D75">
        <w:lastRenderedPageBreak/>
        <w:t>第二章</w:t>
      </w:r>
      <w:r w:rsidRPr="00275D75">
        <w:rPr>
          <w:rFonts w:hint="eastAsia"/>
        </w:rPr>
        <w:t xml:space="preserve"> </w:t>
      </w:r>
      <w:r w:rsidRPr="00275D75">
        <w:t xml:space="preserve"> </w:t>
      </w:r>
      <w:r w:rsidRPr="00275D75">
        <w:t>公务卡日常管理</w:t>
      </w:r>
    </w:p>
    <w:p w:rsidR="00430D23" w:rsidRPr="00275D75" w:rsidRDefault="00430D23" w:rsidP="00430D23">
      <w:pPr>
        <w:ind w:firstLine="527"/>
      </w:pPr>
      <w:r w:rsidRPr="00275D75">
        <w:rPr>
          <w:b/>
        </w:rPr>
        <w:t>第四条</w:t>
      </w:r>
      <w:r w:rsidRPr="00275D75">
        <w:rPr>
          <w:rFonts w:hint="eastAsia"/>
        </w:rPr>
        <w:t xml:space="preserve"> </w:t>
      </w:r>
      <w:r w:rsidRPr="00275D75">
        <w:t xml:space="preserve"> </w:t>
      </w:r>
      <w:r w:rsidRPr="00275D75">
        <w:t>学校以院系（部处）、所、中心为单位</w:t>
      </w:r>
      <w:r w:rsidRPr="00275D75">
        <w:rPr>
          <w:rFonts w:hint="eastAsia"/>
        </w:rPr>
        <w:t>，集中收集</w:t>
      </w:r>
      <w:r w:rsidRPr="00275D75">
        <w:t>需要办理公务</w:t>
      </w:r>
      <w:proofErr w:type="gramStart"/>
      <w:r w:rsidRPr="00275D75">
        <w:t>卡人员</w:t>
      </w:r>
      <w:proofErr w:type="gramEnd"/>
      <w:r w:rsidRPr="00275D75">
        <w:t>的相关材料</w:t>
      </w:r>
      <w:r w:rsidRPr="00275D75">
        <w:rPr>
          <w:rFonts w:hint="eastAsia"/>
        </w:rPr>
        <w:t>，提交财经处</w:t>
      </w:r>
      <w:r w:rsidRPr="00275D75">
        <w:t>。对于参与经费支出报销业务的</w:t>
      </w:r>
      <w:r w:rsidRPr="00275D75">
        <w:rPr>
          <w:rFonts w:hint="eastAsia"/>
        </w:rPr>
        <w:t>单位聘用人员办理公务卡，需由聘用人员与项目负责人（或所在单位财务负责人）共同申请，经项目所在单位和财经处批准后，可以办理公务卡。</w:t>
      </w:r>
    </w:p>
    <w:p w:rsidR="00430D23" w:rsidRPr="00275D75" w:rsidRDefault="00430D23" w:rsidP="00430D23">
      <w:pPr>
        <w:ind w:firstLine="527"/>
      </w:pPr>
      <w:r w:rsidRPr="00275D75">
        <w:rPr>
          <w:b/>
        </w:rPr>
        <w:t>第五条</w:t>
      </w:r>
      <w:r w:rsidRPr="00275D75">
        <w:rPr>
          <w:rFonts w:hint="eastAsia"/>
        </w:rPr>
        <w:t xml:space="preserve"> </w:t>
      </w:r>
      <w:r w:rsidRPr="00275D75">
        <w:t xml:space="preserve"> </w:t>
      </w:r>
      <w:r w:rsidRPr="00275D75">
        <w:t>公务卡的信用额度不超过</w:t>
      </w:r>
      <w:r w:rsidRPr="00275D75">
        <w:t>5</w:t>
      </w:r>
      <w:r w:rsidRPr="00275D75">
        <w:t>万元。新办公务卡额度为</w:t>
      </w:r>
      <w:r w:rsidRPr="00275D75">
        <w:rPr>
          <w:rFonts w:hint="eastAsia"/>
        </w:rPr>
        <w:t>2-3</w:t>
      </w:r>
      <w:r w:rsidRPr="00275D75">
        <w:rPr>
          <w:rFonts w:hint="eastAsia"/>
        </w:rPr>
        <w:t>万元，</w:t>
      </w:r>
      <w:r w:rsidRPr="00275D75">
        <w:t>持卡人在规定的信用额度和免息还款期内先支付后还款，额度循环使用。如因业务需要需提升公务卡额度</w:t>
      </w:r>
      <w:r w:rsidRPr="00275D75">
        <w:rPr>
          <w:rFonts w:hint="eastAsia"/>
        </w:rPr>
        <w:t>，将相关材料提交财经处。</w:t>
      </w:r>
    </w:p>
    <w:p w:rsidR="00430D23" w:rsidRPr="00275D75" w:rsidRDefault="00430D23" w:rsidP="00430D23">
      <w:pPr>
        <w:ind w:firstLine="527"/>
      </w:pPr>
      <w:r w:rsidRPr="00275D75">
        <w:rPr>
          <w:b/>
        </w:rPr>
        <w:t>第六条</w:t>
      </w:r>
      <w:r w:rsidRPr="00275D75">
        <w:rPr>
          <w:rFonts w:hint="eastAsia"/>
        </w:rPr>
        <w:t xml:space="preserve"> </w:t>
      </w:r>
      <w:r w:rsidRPr="00275D75">
        <w:t xml:space="preserve"> </w:t>
      </w:r>
      <w:r w:rsidRPr="00275D75">
        <w:t>公务卡的卡片和密码均由个人负责保管。</w:t>
      </w:r>
    </w:p>
    <w:p w:rsidR="00430D23" w:rsidRPr="00275D75" w:rsidRDefault="00430D23" w:rsidP="00430D23">
      <w:pPr>
        <w:ind w:firstLine="527"/>
      </w:pPr>
      <w:r w:rsidRPr="00275D75">
        <w:rPr>
          <w:b/>
        </w:rPr>
        <w:t>第七条</w:t>
      </w:r>
      <w:r w:rsidRPr="00275D75">
        <w:t xml:space="preserve"> </w:t>
      </w:r>
      <w:r w:rsidRPr="00275D75">
        <w:rPr>
          <w:rFonts w:hint="eastAsia"/>
        </w:rPr>
        <w:t xml:space="preserve"> </w:t>
      </w:r>
      <w:r w:rsidRPr="00275D75">
        <w:t>公务卡持卡人离职，须及时办理</w:t>
      </w:r>
      <w:proofErr w:type="gramStart"/>
      <w:r w:rsidRPr="00275D75">
        <w:t>还款及销卡</w:t>
      </w:r>
      <w:proofErr w:type="gramEnd"/>
      <w:r w:rsidRPr="00275D75">
        <w:t>手续，不得继续使用公务卡。</w:t>
      </w:r>
    </w:p>
    <w:p w:rsidR="00430D23" w:rsidRPr="00275D75" w:rsidRDefault="00430D23" w:rsidP="00430D23">
      <w:pPr>
        <w:pStyle w:val="4"/>
        <w:spacing w:before="357" w:after="357"/>
      </w:pPr>
      <w:r w:rsidRPr="00275D75">
        <w:t>第三章</w:t>
      </w:r>
      <w:r w:rsidRPr="00275D75">
        <w:rPr>
          <w:rFonts w:hint="eastAsia"/>
        </w:rPr>
        <w:t xml:space="preserve"> </w:t>
      </w:r>
      <w:r w:rsidRPr="00275D75">
        <w:t xml:space="preserve"> </w:t>
      </w:r>
      <w:r w:rsidRPr="00275D75">
        <w:t>公务卡支付管理</w:t>
      </w:r>
    </w:p>
    <w:p w:rsidR="00430D23" w:rsidRPr="00275D75" w:rsidRDefault="00430D23" w:rsidP="00430D23">
      <w:pPr>
        <w:ind w:firstLine="527"/>
      </w:pPr>
      <w:r w:rsidRPr="00275D75">
        <w:rPr>
          <w:b/>
        </w:rPr>
        <w:t>第九条</w:t>
      </w:r>
      <w:r w:rsidRPr="00275D75">
        <w:t xml:space="preserve"> </w:t>
      </w:r>
      <w:r w:rsidRPr="00275D75">
        <w:rPr>
          <w:rFonts w:hint="eastAsia"/>
        </w:rPr>
        <w:t xml:space="preserve"> </w:t>
      </w:r>
      <w:r w:rsidRPr="00275D75">
        <w:t>公务卡持卡人应知晓公务卡使用规程，并按照银行要求使用公务卡结算。</w:t>
      </w:r>
    </w:p>
    <w:p w:rsidR="00430D23" w:rsidRPr="00275D75" w:rsidRDefault="00430D23" w:rsidP="00430D23">
      <w:pPr>
        <w:ind w:firstLine="527"/>
      </w:pPr>
      <w:r w:rsidRPr="00275D75">
        <w:rPr>
          <w:b/>
        </w:rPr>
        <w:t>第十条</w:t>
      </w:r>
      <w:r w:rsidRPr="00275D75">
        <w:rPr>
          <w:rFonts w:hint="eastAsia"/>
        </w:rPr>
        <w:t xml:space="preserve"> </w:t>
      </w:r>
      <w:r w:rsidRPr="00275D75">
        <w:t xml:space="preserve"> </w:t>
      </w:r>
      <w:r w:rsidRPr="00275D75">
        <w:t>公务卡持卡人在执行公务中原则上不允许通过公务卡提取现金。确有特殊需要必须提现的，提现手续费等费用由持卡人承担。</w:t>
      </w:r>
    </w:p>
    <w:p w:rsidR="00430D23" w:rsidRPr="00275D75" w:rsidRDefault="00430D23" w:rsidP="00430D23">
      <w:pPr>
        <w:ind w:firstLine="527"/>
      </w:pPr>
      <w:r w:rsidRPr="00275D75">
        <w:rPr>
          <w:b/>
        </w:rPr>
        <w:t>第十一条</w:t>
      </w:r>
      <w:r w:rsidRPr="00275D75">
        <w:t xml:space="preserve"> </w:t>
      </w:r>
      <w:r w:rsidRPr="00275D75">
        <w:rPr>
          <w:rFonts w:hint="eastAsia"/>
        </w:rPr>
        <w:t xml:space="preserve"> </w:t>
      </w:r>
      <w:r w:rsidRPr="00275D75">
        <w:t>公务卡为个人信用卡，涉及公务消费和私人消费的支出应分别刷卡结算，除公务消费支出由单位报销还款外，公务卡的私人消费支出均由持卡人负责还款，学校不承担任何因个人原因导致的责任。</w:t>
      </w:r>
    </w:p>
    <w:p w:rsidR="00430D23" w:rsidRPr="00275D75" w:rsidRDefault="00430D23" w:rsidP="00430D23">
      <w:pPr>
        <w:pStyle w:val="4"/>
        <w:spacing w:before="357" w:after="357"/>
      </w:pPr>
      <w:r w:rsidRPr="00275D75">
        <w:t>第四章</w:t>
      </w:r>
      <w:r w:rsidRPr="00275D75">
        <w:rPr>
          <w:rFonts w:hint="eastAsia"/>
        </w:rPr>
        <w:t xml:space="preserve"> </w:t>
      </w:r>
      <w:r w:rsidRPr="00275D75">
        <w:t xml:space="preserve"> </w:t>
      </w:r>
      <w:r w:rsidRPr="00275D75">
        <w:t>公务卡财务报销管理</w:t>
      </w:r>
    </w:p>
    <w:p w:rsidR="00430D23" w:rsidRPr="00275D75" w:rsidRDefault="00430D23" w:rsidP="00430D23">
      <w:pPr>
        <w:ind w:firstLine="527"/>
      </w:pPr>
      <w:r w:rsidRPr="00275D75">
        <w:rPr>
          <w:b/>
        </w:rPr>
        <w:t>第十二条</w:t>
      </w:r>
      <w:r w:rsidRPr="00275D75">
        <w:rPr>
          <w:rFonts w:hint="eastAsia"/>
        </w:rPr>
        <w:t xml:space="preserve"> </w:t>
      </w:r>
      <w:r w:rsidRPr="00275D75">
        <w:t xml:space="preserve"> </w:t>
      </w:r>
      <w:r w:rsidRPr="00275D75">
        <w:t>公务卡持卡人使用公务卡消费结算的各项公务支出，必须于</w:t>
      </w:r>
      <w:r w:rsidRPr="00275D75">
        <w:rPr>
          <w:rFonts w:hint="eastAsia"/>
        </w:rPr>
        <w:t>刷卡</w:t>
      </w:r>
      <w:r w:rsidRPr="00275D75">
        <w:t>消费月的次月</w:t>
      </w:r>
      <w:r w:rsidRPr="00275D75">
        <w:rPr>
          <w:rFonts w:hint="eastAsia"/>
        </w:rPr>
        <w:t>14</w:t>
      </w:r>
      <w:r w:rsidRPr="00275D75">
        <w:rPr>
          <w:rFonts w:hint="eastAsia"/>
        </w:rPr>
        <w:t>日前（如遇周六日不顺延）</w:t>
      </w:r>
      <w:r w:rsidRPr="00275D75">
        <w:t>及时到</w:t>
      </w:r>
      <w:r w:rsidRPr="00275D75">
        <w:rPr>
          <w:rFonts w:hint="eastAsia"/>
        </w:rPr>
        <w:t>财经处</w:t>
      </w:r>
      <w:r w:rsidRPr="00275D75">
        <w:t>报销。</w:t>
      </w:r>
    </w:p>
    <w:p w:rsidR="00430D23" w:rsidRPr="00275D75" w:rsidRDefault="00430D23" w:rsidP="00430D23">
      <w:pPr>
        <w:ind w:firstLine="527"/>
      </w:pPr>
      <w:r w:rsidRPr="00275D75">
        <w:rPr>
          <w:b/>
        </w:rPr>
        <w:t>第十三条</w:t>
      </w:r>
      <w:r w:rsidRPr="00275D75">
        <w:t xml:space="preserve"> </w:t>
      </w:r>
      <w:r w:rsidRPr="00275D75">
        <w:rPr>
          <w:rFonts w:hint="eastAsia"/>
        </w:rPr>
        <w:t xml:space="preserve"> </w:t>
      </w:r>
      <w:r w:rsidRPr="00275D75">
        <w:t>公务卡持卡人报销时应按照要求自行</w:t>
      </w:r>
      <w:r w:rsidRPr="00275D75">
        <w:rPr>
          <w:rFonts w:hint="eastAsia"/>
        </w:rPr>
        <w:t>登录</w:t>
      </w:r>
      <w:r w:rsidRPr="00275D75">
        <w:t>财经服务平台公务卡模块填报相关信息，</w:t>
      </w:r>
      <w:r w:rsidRPr="00275D75">
        <w:rPr>
          <w:rFonts w:hint="eastAsia"/>
        </w:rPr>
        <w:t>进行公务卡编制，</w:t>
      </w:r>
      <w:r w:rsidRPr="00275D75">
        <w:t>并附有关财务报销凭证</w:t>
      </w:r>
      <w:r w:rsidRPr="00275D75">
        <w:rPr>
          <w:rFonts w:hint="eastAsia"/>
        </w:rPr>
        <w:t>，</w:t>
      </w:r>
      <w:r w:rsidRPr="00275D75">
        <w:t>按照规定的财务报销程序办理报销事宜。</w:t>
      </w:r>
    </w:p>
    <w:p w:rsidR="00430D23" w:rsidRPr="00275D75" w:rsidRDefault="00430D23" w:rsidP="00430D23">
      <w:pPr>
        <w:ind w:firstLine="527"/>
      </w:pPr>
      <w:r w:rsidRPr="00275D75">
        <w:rPr>
          <w:b/>
        </w:rPr>
        <w:t>第十四条</w:t>
      </w:r>
      <w:r w:rsidRPr="00275D75">
        <w:rPr>
          <w:rFonts w:hint="eastAsia"/>
        </w:rPr>
        <w:t xml:space="preserve"> </w:t>
      </w:r>
      <w:r w:rsidRPr="00275D75">
        <w:rPr>
          <w:rFonts w:eastAsia="Times New Roman"/>
        </w:rPr>
        <w:t xml:space="preserve"> </w:t>
      </w:r>
      <w:r w:rsidRPr="00275D75">
        <w:rPr>
          <w:rFonts w:hint="eastAsia"/>
        </w:rPr>
        <w:t>对于</w:t>
      </w:r>
      <w:r w:rsidRPr="00275D75">
        <w:t>符合报销规定的公务卡消费支出，</w:t>
      </w:r>
      <w:r w:rsidRPr="00275D75">
        <w:rPr>
          <w:rFonts w:hint="eastAsia"/>
        </w:rPr>
        <w:t>财经处</w:t>
      </w:r>
      <w:r w:rsidRPr="00275D75">
        <w:t>将在规定的还款期</w:t>
      </w:r>
      <w:r w:rsidRPr="00275D75">
        <w:lastRenderedPageBreak/>
        <w:t>限内办理公务卡还款手续。</w:t>
      </w:r>
    </w:p>
    <w:p w:rsidR="00430D23" w:rsidRPr="00275D75" w:rsidRDefault="00430D23" w:rsidP="00430D23">
      <w:pPr>
        <w:ind w:firstLine="527"/>
      </w:pPr>
      <w:r w:rsidRPr="00275D75">
        <w:rPr>
          <w:b/>
        </w:rPr>
        <w:t>第十五条</w:t>
      </w:r>
      <w:r w:rsidRPr="00275D75">
        <w:rPr>
          <w:rFonts w:hint="eastAsia"/>
        </w:rPr>
        <w:t xml:space="preserve"> </w:t>
      </w:r>
      <w:r w:rsidRPr="00275D75">
        <w:rPr>
          <w:rFonts w:eastAsia="Times New Roman"/>
        </w:rPr>
        <w:t xml:space="preserve"> </w:t>
      </w:r>
      <w:r w:rsidRPr="00275D75">
        <w:t>确因工作需要，持卡人不能在规定的免息还款期内返回单位办理报销手续的，可由持卡人或其所在单位相关人员</w:t>
      </w:r>
      <w:r w:rsidRPr="00275D75">
        <w:rPr>
          <w:rFonts w:hint="eastAsia"/>
        </w:rPr>
        <w:t>登录财经服务平台公务卡模块填报相关信息，</w:t>
      </w:r>
      <w:r w:rsidRPr="00275D75">
        <w:t>并提交交易记录等相关材料，到财经处办理相关借款手续，经</w:t>
      </w:r>
      <w:r w:rsidRPr="00275D75">
        <w:rPr>
          <w:rFonts w:hint="eastAsia"/>
        </w:rPr>
        <w:t>财经处</w:t>
      </w:r>
      <w:r w:rsidRPr="00275D75">
        <w:t>审核批准，于免息还款期之前，先将资金转入公务卡，持卡人返回单位后按财经处规定的时间办报销手续并冲销借款。</w:t>
      </w:r>
    </w:p>
    <w:p w:rsidR="00430D23" w:rsidRPr="00275D75" w:rsidRDefault="00430D23" w:rsidP="00430D23">
      <w:pPr>
        <w:pStyle w:val="4"/>
        <w:spacing w:before="357" w:after="357"/>
      </w:pPr>
      <w:r w:rsidRPr="00275D75">
        <w:t>第五章</w:t>
      </w:r>
      <w:r w:rsidRPr="00275D75">
        <w:rPr>
          <w:rFonts w:hint="eastAsia"/>
        </w:rPr>
        <w:t xml:space="preserve"> </w:t>
      </w:r>
      <w:r w:rsidRPr="00275D75">
        <w:rPr>
          <w:rFonts w:eastAsia="Times New Roman"/>
        </w:rPr>
        <w:t xml:space="preserve"> </w:t>
      </w:r>
      <w:r w:rsidRPr="00275D75">
        <w:t>公务</w:t>
      </w:r>
      <w:proofErr w:type="gramStart"/>
      <w:r w:rsidRPr="00275D75">
        <w:t>卡相关</w:t>
      </w:r>
      <w:proofErr w:type="gramEnd"/>
      <w:r w:rsidRPr="00275D75">
        <w:t>管理责任</w:t>
      </w:r>
    </w:p>
    <w:p w:rsidR="00430D23" w:rsidRPr="00275D75" w:rsidRDefault="00430D23" w:rsidP="00430D23">
      <w:pPr>
        <w:ind w:firstLine="527"/>
      </w:pPr>
      <w:r w:rsidRPr="00275D75">
        <w:rPr>
          <w:b/>
        </w:rPr>
        <w:t>第十六条</w:t>
      </w:r>
      <w:r w:rsidRPr="00275D75">
        <w:rPr>
          <w:rFonts w:hint="eastAsia"/>
        </w:rPr>
        <w:t xml:space="preserve"> </w:t>
      </w:r>
      <w:r w:rsidRPr="00275D75">
        <w:rPr>
          <w:rFonts w:eastAsia="Times New Roman"/>
        </w:rPr>
        <w:t xml:space="preserve"> </w:t>
      </w:r>
      <w:r w:rsidRPr="00275D75">
        <w:t>公务卡遗失</w:t>
      </w:r>
      <w:r w:rsidRPr="00275D75">
        <w:rPr>
          <w:rFonts w:hint="eastAsia"/>
        </w:rPr>
        <w:t>、</w:t>
      </w:r>
      <w:r w:rsidRPr="00275D75">
        <w:t>损毁后的补办等事项由持卡人个人自行通过发卡行客服</w:t>
      </w:r>
      <w:r w:rsidRPr="00275D75">
        <w:rPr>
          <w:rFonts w:eastAsia="Times New Roman"/>
        </w:rPr>
        <w:t>95588</w:t>
      </w:r>
      <w:r w:rsidRPr="00275D75">
        <w:t>申请办理，持卡人收到新公务卡</w:t>
      </w:r>
      <w:r w:rsidRPr="00275D75">
        <w:rPr>
          <w:rFonts w:hint="eastAsia"/>
        </w:rPr>
        <w:t>后应</w:t>
      </w:r>
      <w:r w:rsidRPr="00275D75">
        <w:t>及时登录学校信息门户在财经服务平台系统中维护卡号等相关信息。</w:t>
      </w:r>
    </w:p>
    <w:p w:rsidR="00430D23" w:rsidRPr="00275D75" w:rsidRDefault="00430D23" w:rsidP="00430D23">
      <w:pPr>
        <w:ind w:firstLine="527"/>
      </w:pPr>
      <w:r w:rsidRPr="00275D75">
        <w:rPr>
          <w:b/>
        </w:rPr>
        <w:t>第十七条</w:t>
      </w:r>
      <w:r w:rsidRPr="00275D75">
        <w:rPr>
          <w:rFonts w:hint="eastAsia"/>
        </w:rPr>
        <w:t xml:space="preserve"> </w:t>
      </w:r>
      <w:r w:rsidRPr="00275D75">
        <w:rPr>
          <w:rFonts w:eastAsia="Times New Roman"/>
        </w:rPr>
        <w:t xml:space="preserve"> </w:t>
      </w:r>
      <w:r w:rsidRPr="00275D75">
        <w:t>公务卡持卡人离职时，须按照规定及时还款并到</w:t>
      </w:r>
      <w:r w:rsidRPr="00275D75">
        <w:rPr>
          <w:rFonts w:hint="eastAsia"/>
        </w:rPr>
        <w:t>财经处</w:t>
      </w:r>
      <w:r w:rsidRPr="00275D75">
        <w:t>办理销卡手续。各二级单位及项目负责人应督促离职人员办理销卡手续。若离职人员由于各种原因未销卡，各单位及</w:t>
      </w:r>
      <w:r w:rsidRPr="00275D75">
        <w:rPr>
          <w:rFonts w:hint="eastAsia"/>
        </w:rPr>
        <w:t>财经处</w:t>
      </w:r>
      <w:r w:rsidRPr="00275D75">
        <w:t>将协调相关职能部门直接提请发卡银行对该公务卡进行冻结或销户。</w:t>
      </w:r>
    </w:p>
    <w:p w:rsidR="00430D23" w:rsidRPr="00275D75" w:rsidRDefault="00430D23" w:rsidP="00430D23">
      <w:pPr>
        <w:pStyle w:val="4"/>
        <w:spacing w:before="357" w:after="357"/>
      </w:pPr>
      <w:r w:rsidRPr="00275D75">
        <w:t>第六章</w:t>
      </w:r>
      <w:r w:rsidRPr="00275D75">
        <w:rPr>
          <w:rFonts w:hint="eastAsia"/>
        </w:rPr>
        <w:t xml:space="preserve"> </w:t>
      </w:r>
      <w:r w:rsidRPr="00275D75">
        <w:rPr>
          <w:rFonts w:eastAsia="Times New Roman"/>
        </w:rPr>
        <w:t xml:space="preserve"> </w:t>
      </w:r>
      <w:r w:rsidRPr="00275D75">
        <w:t>附</w:t>
      </w:r>
      <w:r w:rsidRPr="00275D75">
        <w:rPr>
          <w:rFonts w:hint="eastAsia"/>
        </w:rPr>
        <w:t xml:space="preserve">    </w:t>
      </w:r>
      <w:r w:rsidRPr="00275D75">
        <w:t>则</w:t>
      </w:r>
    </w:p>
    <w:p w:rsidR="00430D23" w:rsidRPr="00275D75" w:rsidRDefault="00430D23" w:rsidP="00430D23">
      <w:pPr>
        <w:ind w:firstLine="527"/>
      </w:pPr>
      <w:r w:rsidRPr="00275D75">
        <w:rPr>
          <w:b/>
        </w:rPr>
        <w:t>第十九条</w:t>
      </w:r>
      <w:r w:rsidRPr="00275D75">
        <w:rPr>
          <w:rFonts w:hint="eastAsia"/>
        </w:rPr>
        <w:t xml:space="preserve"> </w:t>
      </w:r>
      <w:r w:rsidRPr="00275D75">
        <w:rPr>
          <w:rFonts w:eastAsia="Times New Roman"/>
        </w:rPr>
        <w:t xml:space="preserve"> </w:t>
      </w:r>
      <w:r w:rsidRPr="00275D75">
        <w:t>本办法由</w:t>
      </w:r>
      <w:r w:rsidRPr="00275D75">
        <w:rPr>
          <w:rFonts w:hint="eastAsia"/>
        </w:rPr>
        <w:t>财经处</w:t>
      </w:r>
      <w:r w:rsidRPr="00275D75">
        <w:t>负责解释。</w:t>
      </w:r>
    </w:p>
    <w:p w:rsidR="00430D23" w:rsidRPr="00275D75" w:rsidRDefault="00430D23" w:rsidP="00430D23">
      <w:pPr>
        <w:ind w:firstLine="527"/>
      </w:pPr>
      <w:r w:rsidRPr="00275D75">
        <w:rPr>
          <w:b/>
        </w:rPr>
        <w:t>第二十条</w:t>
      </w:r>
      <w:r w:rsidRPr="00275D75">
        <w:rPr>
          <w:rFonts w:eastAsia="Times New Roman"/>
        </w:rPr>
        <w:t xml:space="preserve"> </w:t>
      </w:r>
      <w:r w:rsidRPr="00275D75">
        <w:rPr>
          <w:rFonts w:hint="eastAsia"/>
        </w:rPr>
        <w:t xml:space="preserve"> </w:t>
      </w:r>
      <w:r w:rsidRPr="00275D75">
        <w:t>本办法自发布之日起执行。</w:t>
      </w:r>
    </w:p>
    <w:p w:rsidR="00430D23" w:rsidRPr="00275D75" w:rsidRDefault="00430D23" w:rsidP="00430D23">
      <w:pPr>
        <w:ind w:firstLine="525"/>
      </w:pPr>
    </w:p>
    <w:p w:rsidR="00430D23" w:rsidRPr="00275D75" w:rsidRDefault="00430D23" w:rsidP="00430D23">
      <w:pPr>
        <w:ind w:firstLine="525"/>
        <w:sectPr w:rsidR="00430D23" w:rsidRPr="00275D75" w:rsidSect="00430D23">
          <w:pgSz w:w="11907" w:h="16840" w:code="9"/>
          <w:pgMar w:top="1985" w:right="1361" w:bottom="1418" w:left="1361" w:header="1134" w:footer="851" w:gutter="0"/>
          <w:cols w:space="425"/>
          <w:docGrid w:type="linesAndChars" w:linePitch="447" w:charSpace="4593"/>
        </w:sectPr>
      </w:pPr>
    </w:p>
    <w:p w:rsidR="00430D23" w:rsidRPr="00275D75" w:rsidRDefault="00430D23" w:rsidP="00430D23">
      <w:pPr>
        <w:pStyle w:val="4"/>
        <w:spacing w:before="249" w:after="249"/>
        <w:jc w:val="left"/>
        <w:rPr>
          <w:rFonts w:ascii="仿宋_GB2312" w:eastAsia="仿宋_GB2312"/>
        </w:rPr>
      </w:pPr>
      <w:r w:rsidRPr="00275D75">
        <w:rPr>
          <w:rFonts w:hint="eastAsia"/>
        </w:rPr>
        <w:lastRenderedPageBreak/>
        <w:t>附件</w:t>
      </w:r>
      <w:r w:rsidRPr="00275D75">
        <w:rPr>
          <w:rFonts w:hint="eastAsia"/>
        </w:rPr>
        <w:t>1</w:t>
      </w:r>
      <w:r w:rsidRPr="00275D75">
        <w:rPr>
          <w:rFonts w:hint="eastAsia"/>
        </w:rPr>
        <w:t>：</w:t>
      </w:r>
    </w:p>
    <w:p w:rsidR="00430D23" w:rsidRPr="00275D75" w:rsidRDefault="00430D23" w:rsidP="00430D23">
      <w:pPr>
        <w:pStyle w:val="a6"/>
        <w:spacing w:before="156"/>
      </w:pPr>
      <w:r w:rsidRPr="00275D75">
        <w:rPr>
          <w:rFonts w:hint="eastAsia"/>
        </w:rPr>
        <w:t>中央预算单位公务卡强制结算目录</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2225"/>
        <w:gridCol w:w="5269"/>
      </w:tblGrid>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序号</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公务卡结算项目</w:t>
            </w:r>
          </w:p>
        </w:tc>
        <w:tc>
          <w:tcPr>
            <w:tcW w:w="5891" w:type="dxa"/>
            <w:shd w:val="clear" w:color="auto" w:fill="auto"/>
            <w:vAlign w:val="center"/>
            <w:hideMark/>
          </w:tcPr>
          <w:p w:rsidR="00430D23" w:rsidRPr="00275D75" w:rsidRDefault="00430D23" w:rsidP="00450E6A">
            <w:pPr>
              <w:pStyle w:val="a5"/>
              <w:jc w:val="left"/>
            </w:pPr>
            <w:r w:rsidRPr="00275D75">
              <w:rPr>
                <w:rFonts w:hint="eastAsia"/>
              </w:rPr>
              <w:t>备注</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01</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办公费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指单位购买按财务会计制度规定不符合固定资产确认标准的日常办公用品、书报杂志等支出。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02</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印刷费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指单位的印刷费支出。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03</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咨询费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指单位咨询方面的支出。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04</w:t>
            </w:r>
          </w:p>
        </w:tc>
        <w:tc>
          <w:tcPr>
            <w:tcW w:w="2410" w:type="dxa"/>
            <w:shd w:val="clear" w:color="auto" w:fill="auto"/>
            <w:vAlign w:val="center"/>
            <w:hideMark/>
          </w:tcPr>
          <w:p w:rsidR="00430D23" w:rsidRPr="00275D75" w:rsidRDefault="00430D23" w:rsidP="00450E6A">
            <w:pPr>
              <w:pStyle w:val="a5"/>
              <w:jc w:val="left"/>
            </w:pPr>
            <w:r w:rsidRPr="00275D75">
              <w:rPr>
                <w:rFonts w:hint="eastAsia"/>
              </w:rPr>
              <w:t>手续费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指单位支付的手续费支出。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05</w:t>
            </w:r>
          </w:p>
        </w:tc>
        <w:tc>
          <w:tcPr>
            <w:tcW w:w="2410" w:type="dxa"/>
            <w:shd w:val="clear" w:color="auto" w:fill="auto"/>
            <w:vAlign w:val="center"/>
            <w:hideMark/>
          </w:tcPr>
          <w:p w:rsidR="00430D23" w:rsidRPr="00275D75" w:rsidRDefault="00430D23" w:rsidP="00450E6A">
            <w:pPr>
              <w:pStyle w:val="a5"/>
              <w:jc w:val="left"/>
            </w:pPr>
            <w:r w:rsidRPr="00275D75">
              <w:rPr>
                <w:rFonts w:hint="eastAsia"/>
              </w:rPr>
              <w:t>水电费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指单位支付的水电费支出。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06</w:t>
            </w:r>
          </w:p>
        </w:tc>
        <w:tc>
          <w:tcPr>
            <w:tcW w:w="2410" w:type="dxa"/>
            <w:shd w:val="clear" w:color="auto" w:fill="auto"/>
            <w:vAlign w:val="center"/>
            <w:hideMark/>
          </w:tcPr>
          <w:p w:rsidR="00430D23" w:rsidRPr="00275D75" w:rsidRDefault="00430D23" w:rsidP="00450E6A">
            <w:pPr>
              <w:pStyle w:val="a5"/>
              <w:jc w:val="left"/>
            </w:pPr>
            <w:r w:rsidRPr="00275D75">
              <w:rPr>
                <w:rFonts w:hint="eastAsia"/>
              </w:rPr>
              <w:t>邮电费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指单位开支的电话费、电报费、传真费、网络通讯费等支出。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07</w:t>
            </w:r>
          </w:p>
        </w:tc>
        <w:tc>
          <w:tcPr>
            <w:tcW w:w="2410" w:type="dxa"/>
            <w:shd w:val="clear" w:color="auto" w:fill="auto"/>
            <w:vAlign w:val="center"/>
            <w:hideMark/>
          </w:tcPr>
          <w:p w:rsidR="00430D23" w:rsidRPr="00275D75" w:rsidRDefault="00430D23" w:rsidP="00450E6A">
            <w:pPr>
              <w:pStyle w:val="a5"/>
              <w:jc w:val="left"/>
            </w:pPr>
            <w:r w:rsidRPr="00275D75">
              <w:rPr>
                <w:rFonts w:hint="eastAsia"/>
              </w:rPr>
              <w:t>物业管理费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指单位开支的办公用房、职工及离退休人员宿舍等的物业管理费，包括综合治理、绿化、卫生等方面的支出。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08</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差旅费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指单位工作人员因出差支付的住宿费、购买机票支出等。</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09</w:t>
            </w:r>
          </w:p>
        </w:tc>
        <w:tc>
          <w:tcPr>
            <w:tcW w:w="2410" w:type="dxa"/>
            <w:shd w:val="clear" w:color="auto" w:fill="auto"/>
            <w:vAlign w:val="center"/>
            <w:hideMark/>
          </w:tcPr>
          <w:p w:rsidR="00430D23" w:rsidRPr="00275D75" w:rsidRDefault="00430D23" w:rsidP="00450E6A">
            <w:pPr>
              <w:pStyle w:val="a5"/>
              <w:jc w:val="left"/>
            </w:pPr>
            <w:r w:rsidRPr="00275D75">
              <w:rPr>
                <w:rFonts w:hint="eastAsia"/>
              </w:rPr>
              <w:t>维修（护）费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指单位日常开支的固定资产（不包括车船等交通工具）修理和维护费用，网络信息系统运行与维护费用。</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10</w:t>
            </w:r>
          </w:p>
        </w:tc>
        <w:tc>
          <w:tcPr>
            <w:tcW w:w="2410" w:type="dxa"/>
            <w:shd w:val="clear" w:color="auto" w:fill="auto"/>
            <w:vAlign w:val="center"/>
            <w:hideMark/>
          </w:tcPr>
          <w:p w:rsidR="00430D23" w:rsidRPr="00275D75" w:rsidRDefault="00430D23" w:rsidP="00450E6A">
            <w:pPr>
              <w:pStyle w:val="a5"/>
              <w:jc w:val="left"/>
            </w:pPr>
            <w:r w:rsidRPr="00275D75">
              <w:rPr>
                <w:rFonts w:hint="eastAsia"/>
              </w:rPr>
              <w:t>租赁费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指租赁办公用房、宿舍、专用通讯网以及其他设备等方面的费用。</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11</w:t>
            </w:r>
          </w:p>
        </w:tc>
        <w:tc>
          <w:tcPr>
            <w:tcW w:w="2410" w:type="dxa"/>
            <w:shd w:val="clear" w:color="auto" w:fill="auto"/>
            <w:vAlign w:val="center"/>
            <w:hideMark/>
          </w:tcPr>
          <w:p w:rsidR="00430D23" w:rsidRPr="00275D75" w:rsidRDefault="00430D23" w:rsidP="00450E6A">
            <w:pPr>
              <w:pStyle w:val="a5"/>
              <w:jc w:val="left"/>
            </w:pPr>
            <w:r w:rsidRPr="00275D75">
              <w:rPr>
                <w:rFonts w:hint="eastAsia"/>
              </w:rPr>
              <w:t>会议费</w:t>
            </w:r>
          </w:p>
        </w:tc>
        <w:tc>
          <w:tcPr>
            <w:tcW w:w="5891" w:type="dxa"/>
            <w:shd w:val="clear" w:color="auto" w:fill="auto"/>
            <w:vAlign w:val="center"/>
            <w:hideMark/>
          </w:tcPr>
          <w:p w:rsidR="00430D23" w:rsidRPr="00275D75" w:rsidRDefault="00430D23" w:rsidP="00450E6A">
            <w:pPr>
              <w:pStyle w:val="a5"/>
              <w:jc w:val="left"/>
            </w:pPr>
            <w:proofErr w:type="gramStart"/>
            <w:r w:rsidRPr="00275D75">
              <w:rPr>
                <w:rFonts w:hint="eastAsia"/>
              </w:rPr>
              <w:t>指会议</w:t>
            </w:r>
            <w:proofErr w:type="gramEnd"/>
            <w:r w:rsidRPr="00275D75">
              <w:rPr>
                <w:rFonts w:hint="eastAsia"/>
              </w:rPr>
              <w:t>中按规定开支的房租费、伙食补助费以及文件资料的印刷费、</w:t>
            </w:r>
            <w:proofErr w:type="gramStart"/>
            <w:r w:rsidRPr="00275D75">
              <w:rPr>
                <w:rFonts w:hint="eastAsia"/>
              </w:rPr>
              <w:t>会议场</w:t>
            </w:r>
            <w:proofErr w:type="gramEnd"/>
            <w:r w:rsidRPr="00275D75">
              <w:rPr>
                <w:rFonts w:hint="eastAsia"/>
              </w:rPr>
              <w:t>地租用费等。</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12</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培训费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指各类培训支出。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13</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公务接待费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指单位按规定开支的各类公务接待（含外宾接待）费用。</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14</w:t>
            </w:r>
          </w:p>
        </w:tc>
        <w:tc>
          <w:tcPr>
            <w:tcW w:w="2410" w:type="dxa"/>
            <w:shd w:val="clear" w:color="auto" w:fill="auto"/>
            <w:vAlign w:val="center"/>
            <w:hideMark/>
          </w:tcPr>
          <w:p w:rsidR="00430D23" w:rsidRPr="00275D75" w:rsidRDefault="00430D23" w:rsidP="00450E6A">
            <w:pPr>
              <w:pStyle w:val="a5"/>
              <w:jc w:val="left"/>
            </w:pPr>
            <w:r w:rsidRPr="00275D75">
              <w:rPr>
                <w:rFonts w:hint="eastAsia"/>
              </w:rPr>
              <w:t>专用材料费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15</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公务用车运行维护费</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指公务用车的燃料费、维修费、保险费等支出。</w:t>
            </w:r>
          </w:p>
        </w:tc>
      </w:tr>
      <w:tr w:rsidR="00430D23" w:rsidRPr="00275D75" w:rsidTr="00450E6A">
        <w:trPr>
          <w:trHeight w:val="284"/>
          <w:jc w:val="center"/>
        </w:trPr>
        <w:tc>
          <w:tcPr>
            <w:tcW w:w="818" w:type="dxa"/>
            <w:shd w:val="clear" w:color="auto" w:fill="auto"/>
            <w:vAlign w:val="center"/>
            <w:hideMark/>
          </w:tcPr>
          <w:p w:rsidR="00430D23" w:rsidRPr="00275D75" w:rsidRDefault="00430D23" w:rsidP="00450E6A">
            <w:pPr>
              <w:pStyle w:val="a5"/>
              <w:jc w:val="left"/>
            </w:pPr>
            <w:r w:rsidRPr="00275D75">
              <w:rPr>
                <w:rFonts w:hint="eastAsia"/>
              </w:rPr>
              <w:t>16</w:t>
            </w:r>
          </w:p>
        </w:tc>
        <w:tc>
          <w:tcPr>
            <w:tcW w:w="2410" w:type="dxa"/>
            <w:shd w:val="clear" w:color="auto" w:fill="auto"/>
            <w:vAlign w:val="center"/>
            <w:hideMark/>
          </w:tcPr>
          <w:p w:rsidR="00430D23" w:rsidRPr="00275D75" w:rsidRDefault="00430D23" w:rsidP="00450E6A">
            <w:pPr>
              <w:pStyle w:val="a5"/>
              <w:jc w:val="left"/>
            </w:pPr>
            <w:r w:rsidRPr="00275D75">
              <w:rPr>
                <w:rFonts w:hint="eastAsia"/>
              </w:rPr>
              <w:t>其他交通费用</w:t>
            </w:r>
          </w:p>
        </w:tc>
        <w:tc>
          <w:tcPr>
            <w:tcW w:w="5891" w:type="dxa"/>
            <w:shd w:val="clear" w:color="auto" w:fill="auto"/>
            <w:vAlign w:val="center"/>
            <w:hideMark/>
          </w:tcPr>
          <w:p w:rsidR="00430D23" w:rsidRPr="00275D75" w:rsidRDefault="00430D23" w:rsidP="00450E6A">
            <w:pPr>
              <w:pStyle w:val="a5"/>
              <w:jc w:val="left"/>
            </w:pPr>
            <w:r w:rsidRPr="00275D75">
              <w:rPr>
                <w:rFonts w:hint="eastAsia"/>
              </w:rPr>
              <w:t>指单位除公务用车运行维护费以外的其他交通费用。如飞机、船舶等的燃料费、维修费、保险费等。</w:t>
            </w:r>
          </w:p>
        </w:tc>
      </w:tr>
    </w:tbl>
    <w:p w:rsidR="00430D23" w:rsidRPr="00275D75" w:rsidRDefault="00430D23" w:rsidP="00430D23">
      <w:pPr>
        <w:ind w:firstLine="480"/>
        <w:rPr>
          <w:rFonts w:hint="eastAsia"/>
        </w:rPr>
      </w:pPr>
    </w:p>
    <w:p w:rsidR="00DB07EA" w:rsidRPr="00430D23" w:rsidRDefault="00DB07EA" w:rsidP="00430D23">
      <w:pPr>
        <w:ind w:firstLine="480"/>
      </w:pPr>
    </w:p>
    <w:sectPr w:rsidR="00DB07EA" w:rsidRPr="00430D23" w:rsidSect="00DB07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63" w:rsidRDefault="00BD0D63" w:rsidP="00430D23">
      <w:pPr>
        <w:spacing w:line="240" w:lineRule="auto"/>
        <w:ind w:firstLine="480"/>
      </w:pPr>
      <w:r>
        <w:separator/>
      </w:r>
    </w:p>
  </w:endnote>
  <w:endnote w:type="continuationSeparator" w:id="0">
    <w:p w:rsidR="00BD0D63" w:rsidRDefault="00BD0D63" w:rsidP="00430D2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63" w:rsidRDefault="00BD0D63" w:rsidP="00430D23">
      <w:pPr>
        <w:spacing w:line="240" w:lineRule="auto"/>
        <w:ind w:firstLine="480"/>
      </w:pPr>
      <w:r>
        <w:separator/>
      </w:r>
    </w:p>
  </w:footnote>
  <w:footnote w:type="continuationSeparator" w:id="0">
    <w:p w:rsidR="00BD0D63" w:rsidRDefault="00BD0D63" w:rsidP="00430D23">
      <w:pPr>
        <w:spacing w:line="240" w:lineRule="auto"/>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D23"/>
    <w:rsid w:val="0040305E"/>
    <w:rsid w:val="00430D23"/>
    <w:rsid w:val="004C4624"/>
    <w:rsid w:val="009978AA"/>
    <w:rsid w:val="00BD0D63"/>
    <w:rsid w:val="00BD676B"/>
    <w:rsid w:val="00CF3BAF"/>
    <w:rsid w:val="00DB07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23"/>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430D23"/>
    <w:pPr>
      <w:keepNext/>
      <w:keepLines/>
      <w:widowControl w:val="0"/>
      <w:overflowPunct w:val="0"/>
      <w:adjustRightInd w:val="0"/>
      <w:snapToGrid w:val="0"/>
      <w:spacing w:beforeLines="80" w:afterLines="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D23"/>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0D23"/>
    <w:rPr>
      <w:sz w:val="18"/>
      <w:szCs w:val="18"/>
    </w:rPr>
  </w:style>
  <w:style w:type="paragraph" w:styleId="a4">
    <w:name w:val="footer"/>
    <w:basedOn w:val="a"/>
    <w:link w:val="Char0"/>
    <w:uiPriority w:val="99"/>
    <w:semiHidden/>
    <w:unhideWhenUsed/>
    <w:rsid w:val="00430D23"/>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0D23"/>
    <w:rPr>
      <w:sz w:val="18"/>
      <w:szCs w:val="18"/>
    </w:rPr>
  </w:style>
  <w:style w:type="character" w:customStyle="1" w:styleId="4Char">
    <w:name w:val="标题 4 Char"/>
    <w:basedOn w:val="a0"/>
    <w:link w:val="4"/>
    <w:uiPriority w:val="9"/>
    <w:rsid w:val="00430D23"/>
    <w:rPr>
      <w:rFonts w:ascii="Times New Roman bold" w:eastAsia="黑体" w:hAnsi="Times New Roman bold" w:cs="Times New Roman"/>
      <w:bCs/>
      <w:sz w:val="28"/>
      <w:szCs w:val="28"/>
    </w:rPr>
  </w:style>
  <w:style w:type="paragraph" w:customStyle="1" w:styleId="a5">
    <w:name w:val="表格"/>
    <w:qFormat/>
    <w:rsid w:val="00430D23"/>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6">
    <w:name w:val="表题"/>
    <w:qFormat/>
    <w:rsid w:val="00430D23"/>
    <w:pPr>
      <w:widowControl w:val="0"/>
      <w:tabs>
        <w:tab w:val="center" w:pos="4585"/>
        <w:tab w:val="right" w:pos="8646"/>
      </w:tabs>
      <w:overflowPunct w:val="0"/>
      <w:adjustRightInd w:val="0"/>
      <w:snapToGrid w:val="0"/>
      <w:spacing w:beforeLines="50" w:line="314" w:lineRule="atLeast"/>
      <w:jc w:val="center"/>
    </w:pPr>
    <w:rPr>
      <w:rFonts w:ascii="Times New Roman bold" w:eastAsia="黑体" w:hAnsi="Times New Roman bold" w:cs="Times New Roman"/>
      <w:sz w:val="22"/>
      <w:szCs w:val="21"/>
    </w:rPr>
  </w:style>
  <w:style w:type="paragraph" w:customStyle="1" w:styleId="1">
    <w:name w:val="样式1"/>
    <w:qFormat/>
    <w:rsid w:val="00430D23"/>
    <w:pPr>
      <w:keepNext/>
      <w:keepLines/>
      <w:widowControl w:val="0"/>
      <w:overflowPunct w:val="0"/>
      <w:adjustRightInd w:val="0"/>
      <w:snapToGrid w:val="0"/>
      <w:spacing w:beforeLines="150" w:afterLines="150" w:line="447" w:lineRule="atLeast"/>
      <w:jc w:val="center"/>
    </w:pPr>
    <w:rPr>
      <w:rFonts w:ascii="Times New Roman bold" w:eastAsia="黑体" w:hAnsi="Times New Roman bold" w:cs="Times New Roman"/>
      <w:bCs/>
      <w:sz w:val="32"/>
      <w:szCs w:val="32"/>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2112</Characters>
  <Application>Microsoft Office Word</Application>
  <DocSecurity>0</DocSecurity>
  <Lines>17</Lines>
  <Paragraphs>4</Paragraphs>
  <ScaleCrop>false</ScaleCrop>
  <Company>Lenovo</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2020-09-11T03:22:00Z</dcterms:created>
  <dcterms:modified xsi:type="dcterms:W3CDTF">2020-09-11T03:22:00Z</dcterms:modified>
</cp:coreProperties>
</file>